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90538" w:rsidRPr="00090538" w14:paraId="49D887C9" w14:textId="77777777" w:rsidTr="00090538">
        <w:trPr>
          <w:tblCellSpacing w:w="0" w:type="dxa"/>
          <w:jc w:val="center"/>
        </w:trPr>
        <w:tc>
          <w:tcPr>
            <w:tcW w:w="6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bookmarkStart w:id="0" w:name="_GoBack"/>
          <w:bookmarkEnd w:id="0"/>
          <w:p w14:paraId="52B6CCB8" w14:textId="77777777" w:rsidR="00090538" w:rsidRPr="00090538" w:rsidRDefault="00090538" w:rsidP="0009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fi-FI"/>
              </w:rPr>
            </w:pPr>
            <w:r w:rsidRPr="00090538">
              <w:rPr>
                <w:rFonts w:ascii="Arial" w:eastAsia="Times New Roman" w:hAnsi="Arial" w:cs="Arial"/>
                <w:color w:val="FFFFFF"/>
                <w:sz w:val="15"/>
                <w:szCs w:val="15"/>
                <w:lang w:eastAsia="fi-FI"/>
              </w:rPr>
              <w:fldChar w:fldCharType="begin"/>
            </w:r>
            <w:r w:rsidRPr="00090538">
              <w:rPr>
                <w:rFonts w:ascii="Arial" w:eastAsia="Times New Roman" w:hAnsi="Arial" w:cs="Arial"/>
                <w:color w:val="FFFFFF"/>
                <w:sz w:val="15"/>
                <w:szCs w:val="15"/>
                <w:lang w:eastAsia="fi-FI"/>
              </w:rPr>
              <w:instrText xml:space="preserve"> HYPERLINK "https://msgfocus.rotary.org/q/1tf9lyyZepr4Dd5oGeMDj5V8/wv" </w:instrText>
            </w:r>
            <w:r w:rsidRPr="00090538">
              <w:rPr>
                <w:rFonts w:ascii="Arial" w:eastAsia="Times New Roman" w:hAnsi="Arial" w:cs="Arial"/>
                <w:color w:val="FFFFFF"/>
                <w:sz w:val="15"/>
                <w:szCs w:val="15"/>
                <w:lang w:eastAsia="fi-FI"/>
              </w:rPr>
              <w:fldChar w:fldCharType="separate"/>
            </w:r>
            <w:proofErr w:type="spellStart"/>
            <w:r w:rsidRPr="00090538">
              <w:rPr>
                <w:rFonts w:ascii="Arial" w:eastAsia="Times New Roman" w:hAnsi="Arial" w:cs="Arial"/>
                <w:color w:val="0000FF"/>
                <w:sz w:val="15"/>
                <w:szCs w:val="15"/>
                <w:u w:val="single"/>
                <w:lang w:eastAsia="fi-FI"/>
              </w:rPr>
              <w:t>View</w:t>
            </w:r>
            <w:proofErr w:type="spellEnd"/>
            <w:r w:rsidRPr="00090538">
              <w:rPr>
                <w:rFonts w:ascii="Arial" w:eastAsia="Times New Roman" w:hAnsi="Arial" w:cs="Arial"/>
                <w:color w:val="0000FF"/>
                <w:sz w:val="15"/>
                <w:szCs w:val="15"/>
                <w:u w:val="single"/>
                <w:lang w:eastAsia="fi-FI"/>
              </w:rPr>
              <w:t xml:space="preserve"> Online</w:t>
            </w:r>
            <w:r w:rsidRPr="00090538">
              <w:rPr>
                <w:rFonts w:ascii="Arial" w:eastAsia="Times New Roman" w:hAnsi="Arial" w:cs="Arial"/>
                <w:color w:val="FFFFFF"/>
                <w:sz w:val="15"/>
                <w:szCs w:val="15"/>
                <w:lang w:eastAsia="fi-FI"/>
              </w:rPr>
              <w:fldChar w:fldCharType="end"/>
            </w:r>
            <w:r w:rsidRPr="00090538">
              <w:rPr>
                <w:rFonts w:ascii="Arial" w:eastAsia="Times New Roman" w:hAnsi="Arial" w:cs="Arial"/>
                <w:color w:val="FFFFFF"/>
                <w:sz w:val="15"/>
                <w:szCs w:val="15"/>
                <w:lang w:eastAsia="fi-FI"/>
              </w:rPr>
              <w:t xml:space="preserve"> </w:t>
            </w:r>
          </w:p>
        </w:tc>
      </w:tr>
      <w:tr w:rsidR="00090538" w:rsidRPr="00090538" w14:paraId="14A549B0" w14:textId="77777777" w:rsidTr="0009053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0538" w:rsidRPr="00090538" w14:paraId="3059E0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50A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  <w:gridCol w:w="6600"/>
                  </w:tblGrid>
                  <w:tr w:rsidR="00090538" w:rsidRPr="00090538" w14:paraId="26D9DC96" w14:textId="77777777">
                    <w:trPr>
                      <w:tblCellSpacing w:w="0" w:type="dxa"/>
                    </w:trPr>
                    <w:tc>
                      <w:tcPr>
                        <w:tcW w:w="2400" w:type="dxa"/>
                        <w:shd w:val="clear" w:color="auto" w:fill="0050A2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DDF4CD" w14:textId="77777777" w:rsidR="00090538" w:rsidRPr="00090538" w:rsidRDefault="00090538" w:rsidP="000905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09053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i-FI"/>
                          </w:rPr>
                          <w:drawing>
                            <wp:inline distT="0" distB="0" distL="0" distR="0" wp14:anchorId="185823AB" wp14:editId="085D0BA6">
                              <wp:extent cx="1212850" cy="444500"/>
                              <wp:effectExtent l="0" t="0" r="6350" b="0"/>
                              <wp:docPr id="7" name="Kuva 7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2850" cy="44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0050A2"/>
                        <w:tcMar>
                          <w:top w:w="375" w:type="dxa"/>
                          <w:left w:w="0" w:type="dxa"/>
                          <w:bottom w:w="375" w:type="dxa"/>
                          <w:right w:w="300" w:type="dxa"/>
                        </w:tcMar>
                        <w:vAlign w:val="center"/>
                        <w:hideMark/>
                      </w:tcPr>
                      <w:p w14:paraId="68051A96" w14:textId="77777777" w:rsidR="00090538" w:rsidRPr="00090538" w:rsidRDefault="00090538" w:rsidP="0009053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FFFF"/>
                            <w:sz w:val="45"/>
                            <w:szCs w:val="45"/>
                            <w:lang w:eastAsia="fi-FI"/>
                          </w:rPr>
                        </w:pPr>
                        <w:r w:rsidRPr="00090538">
                          <w:rPr>
                            <w:rFonts w:ascii="Arial" w:eastAsia="Times New Roman" w:hAnsi="Arial" w:cs="Arial"/>
                            <w:color w:val="FFFFFF"/>
                            <w:sz w:val="27"/>
                            <w:szCs w:val="27"/>
                            <w:lang w:eastAsia="fi-FI"/>
                          </w:rPr>
                          <w:t xml:space="preserve">Join us for World </w:t>
                        </w:r>
                        <w:proofErr w:type="spellStart"/>
                        <w:r w:rsidRPr="00090538">
                          <w:rPr>
                            <w:rFonts w:ascii="Arial" w:eastAsia="Times New Roman" w:hAnsi="Arial" w:cs="Arial"/>
                            <w:color w:val="FFFFFF"/>
                            <w:sz w:val="27"/>
                            <w:szCs w:val="27"/>
                            <w:lang w:eastAsia="fi-FI"/>
                          </w:rPr>
                          <w:t>Immunization</w:t>
                        </w:r>
                        <w:proofErr w:type="spellEnd"/>
                        <w:r w:rsidRPr="00090538">
                          <w:rPr>
                            <w:rFonts w:ascii="Arial" w:eastAsia="Times New Roman" w:hAnsi="Arial" w:cs="Arial"/>
                            <w:color w:val="FFFFFF"/>
                            <w:sz w:val="27"/>
                            <w:szCs w:val="27"/>
                            <w:lang w:eastAsia="fi-FI"/>
                          </w:rPr>
                          <w:t xml:space="preserve"> </w:t>
                        </w:r>
                        <w:proofErr w:type="spellStart"/>
                        <w:r w:rsidRPr="00090538">
                          <w:rPr>
                            <w:rFonts w:ascii="Arial" w:eastAsia="Times New Roman" w:hAnsi="Arial" w:cs="Arial"/>
                            <w:color w:val="FFFFFF"/>
                            <w:sz w:val="27"/>
                            <w:szCs w:val="27"/>
                            <w:lang w:eastAsia="fi-FI"/>
                          </w:rPr>
                          <w:t>Week</w:t>
                        </w:r>
                        <w:proofErr w:type="spellEnd"/>
                      </w:p>
                    </w:tc>
                  </w:tr>
                </w:tbl>
                <w:p w14:paraId="0EF03625" w14:textId="77777777" w:rsidR="00090538" w:rsidRPr="00090538" w:rsidRDefault="00090538" w:rsidP="0009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02F88F7C" w14:textId="77777777" w:rsidR="00090538" w:rsidRPr="00090538" w:rsidRDefault="00090538" w:rsidP="0009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90538" w:rsidRPr="00090538" w14:paraId="35220BA0" w14:textId="77777777" w:rsidTr="00090538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6750"/>
            </w:tblGrid>
            <w:tr w:rsidR="00090538" w:rsidRPr="00090538" w14:paraId="1E23C3D7" w14:textId="77777777">
              <w:trPr>
                <w:tblCellSpacing w:w="0" w:type="dxa"/>
                <w:jc w:val="center"/>
              </w:trPr>
              <w:tc>
                <w:tcPr>
                  <w:tcW w:w="2250" w:type="dxa"/>
                  <w:vAlign w:val="center"/>
                  <w:hideMark/>
                </w:tcPr>
                <w:p w14:paraId="24089CEA" w14:textId="77777777" w:rsidR="00090538" w:rsidRPr="00090538" w:rsidRDefault="00090538" w:rsidP="0009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37A"/>
                      <w:sz w:val="21"/>
                      <w:szCs w:val="21"/>
                      <w:lang w:eastAsia="fi-FI"/>
                    </w:rPr>
                  </w:pPr>
                  <w:r w:rsidRPr="00090538">
                    <w:rPr>
                      <w:rFonts w:ascii="Times New Roman" w:eastAsia="Times New Roman" w:hAnsi="Times New Roman" w:cs="Times New Roman"/>
                      <w:b/>
                      <w:bCs/>
                      <w:color w:val="4B0082"/>
                      <w:sz w:val="21"/>
                      <w:szCs w:val="21"/>
                      <w:lang w:eastAsia="fi-FI"/>
                    </w:rPr>
                    <w:t xml:space="preserve">World </w:t>
                  </w:r>
                  <w:proofErr w:type="spellStart"/>
                  <w:r w:rsidRPr="00090538">
                    <w:rPr>
                      <w:rFonts w:ascii="Times New Roman" w:eastAsia="Times New Roman" w:hAnsi="Times New Roman" w:cs="Times New Roman"/>
                      <w:b/>
                      <w:bCs/>
                      <w:color w:val="4B0082"/>
                      <w:sz w:val="21"/>
                      <w:szCs w:val="21"/>
                      <w:lang w:eastAsia="fi-FI"/>
                    </w:rPr>
                    <w:t>Immunization</w:t>
                  </w:r>
                  <w:proofErr w:type="spellEnd"/>
                  <w:r w:rsidRPr="00090538">
                    <w:rPr>
                      <w:rFonts w:ascii="Times New Roman" w:eastAsia="Times New Roman" w:hAnsi="Times New Roman" w:cs="Times New Roman"/>
                      <w:b/>
                      <w:bCs/>
                      <w:color w:val="4B0082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Times New Roman" w:eastAsia="Times New Roman" w:hAnsi="Times New Roman" w:cs="Times New Roman"/>
                      <w:b/>
                      <w:bCs/>
                      <w:color w:val="4B0082"/>
                      <w:sz w:val="21"/>
                      <w:szCs w:val="21"/>
                      <w:lang w:eastAsia="fi-FI"/>
                    </w:rPr>
                    <w:t>Week</w:t>
                  </w:r>
                  <w:proofErr w:type="spellEnd"/>
                  <w:r w:rsidRPr="00090538">
                    <w:rPr>
                      <w:rFonts w:ascii="Times New Roman" w:eastAsia="Times New Roman" w:hAnsi="Times New Roman" w:cs="Times New Roman"/>
                      <w:b/>
                      <w:bCs/>
                      <w:color w:val="4B0082"/>
                      <w:sz w:val="21"/>
                      <w:szCs w:val="21"/>
                      <w:lang w:eastAsia="fi-FI"/>
                    </w:rPr>
                    <w:t xml:space="preserve"> 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87B6B" w14:textId="77777777" w:rsidR="00090538" w:rsidRPr="00090538" w:rsidRDefault="00AF1CB6" w:rsidP="000905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437A"/>
                      <w:sz w:val="21"/>
                      <w:szCs w:val="21"/>
                      <w:lang w:eastAsia="fi-FI"/>
                    </w:rPr>
                  </w:pPr>
                  <w:hyperlink r:id="rId7" w:history="1">
                    <w:proofErr w:type="spellStart"/>
                    <w:r w:rsidR="00090538" w:rsidRPr="00090538">
                      <w:rPr>
                        <w:rFonts w:ascii="Times New Roman" w:eastAsia="Times New Roman" w:hAnsi="Times New Roman" w:cs="Times New Roman"/>
                        <w:b/>
                        <w:bCs/>
                        <w:color w:val="4B0082"/>
                        <w:sz w:val="21"/>
                        <w:szCs w:val="21"/>
                        <w:u w:val="single"/>
                        <w:lang w:eastAsia="fi-FI"/>
                      </w:rPr>
                      <w:t>Visit</w:t>
                    </w:r>
                    <w:proofErr w:type="spellEnd"/>
                    <w:r w:rsidR="00090538" w:rsidRPr="00090538">
                      <w:rPr>
                        <w:rFonts w:ascii="Times New Roman" w:eastAsia="Times New Roman" w:hAnsi="Times New Roman" w:cs="Times New Roman"/>
                        <w:b/>
                        <w:bCs/>
                        <w:color w:val="4B0082"/>
                        <w:sz w:val="21"/>
                        <w:szCs w:val="21"/>
                        <w:u w:val="single"/>
                        <w:lang w:eastAsia="fi-FI"/>
                      </w:rPr>
                      <w:t xml:space="preserve"> endpolio.org</w:t>
                    </w:r>
                  </w:hyperlink>
                </w:p>
              </w:tc>
            </w:tr>
          </w:tbl>
          <w:p w14:paraId="5D1CCE45" w14:textId="77777777" w:rsidR="00090538" w:rsidRPr="00090538" w:rsidRDefault="00090538" w:rsidP="0009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090538" w:rsidRPr="00090538" w14:paraId="73176F4C" w14:textId="77777777" w:rsidTr="000905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0538" w:rsidRPr="00090538" w14:paraId="7F1150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24DBCD" w14:textId="77777777" w:rsidR="00090538" w:rsidRPr="00090538" w:rsidRDefault="00090538" w:rsidP="0009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09053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i-FI"/>
                    </w:rPr>
                    <w:drawing>
                      <wp:inline distT="0" distB="0" distL="0" distR="0" wp14:anchorId="74949F71" wp14:editId="04B59E7A">
                        <wp:extent cx="5715000" cy="3810000"/>
                        <wp:effectExtent l="0" t="0" r="0" b="0"/>
                        <wp:docPr id="8" name="Kuva 8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0538" w:rsidRPr="00090538" w14:paraId="64784A6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1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p w14:paraId="563C5AE8" w14:textId="77777777" w:rsidR="00090538" w:rsidRPr="00090538" w:rsidRDefault="00090538" w:rsidP="00090538">
                  <w:pPr>
                    <w:spacing w:after="0" w:line="390" w:lineRule="exact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  <w:lang w:eastAsia="fi-FI"/>
                    </w:rPr>
                  </w:pPr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 xml:space="preserve">Join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>with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 xml:space="preserve"> Rotary to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>promote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>power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 xml:space="preserve"> of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>vaccines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 xml:space="preserve"> to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>protect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>children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 xml:space="preserve"> and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>save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4B0082"/>
                      <w:sz w:val="27"/>
                      <w:szCs w:val="27"/>
                      <w:lang w:eastAsia="fi-FI"/>
                    </w:rPr>
                    <w:t>lives</w:t>
                  </w:r>
                  <w:proofErr w:type="spellEnd"/>
                </w:p>
              </w:tc>
            </w:tr>
            <w:tr w:rsidR="00090538" w:rsidRPr="00090538" w14:paraId="7F9172B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p w14:paraId="75CC10C2" w14:textId="77777777" w:rsidR="00090538" w:rsidRPr="00090538" w:rsidRDefault="00090538" w:rsidP="00090538">
                  <w:pPr>
                    <w:spacing w:after="0" w:line="330" w:lineRule="exac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</w:pP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During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World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Immunization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Week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, 24-30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April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let’s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advocate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for polio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eradication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and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importance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of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vaccines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to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health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and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well-being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of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our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communities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.</w:t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Vaccines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are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one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of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greatest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advances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of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modern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medicine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.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They’re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safe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effective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, and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save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millions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of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lives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each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year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.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Our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progress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in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fight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to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end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polio is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proof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that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vaccines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work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.</w:t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Global Polio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Eradication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Initiative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estimates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that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polio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vaccine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has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saved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more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than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20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million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children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around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world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from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paralysis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.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We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need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 to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continue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vaccinating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children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against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 polio,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because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 as long as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 poliovirus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circulates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anywhere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, it is a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threat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everywhere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 xml:space="preserve">. </w:t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lastRenderedPageBreak/>
                    <w:br/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Here’s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how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you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can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support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Rotary’s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efforts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during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World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Immunization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Week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: </w:t>
                  </w:r>
                </w:p>
                <w:p w14:paraId="30ABE886" w14:textId="77777777" w:rsidR="00090538" w:rsidRPr="00090538" w:rsidRDefault="00090538" w:rsidP="000905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exac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</w:pP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Use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hyperlink r:id="rId10" w:history="1">
                    <w:r w:rsidRPr="000905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 xml:space="preserve">World </w:t>
                    </w:r>
                    <w:proofErr w:type="spellStart"/>
                    <w:r w:rsidRPr="000905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>Immunization</w:t>
                    </w:r>
                    <w:proofErr w:type="spellEnd"/>
                    <w:r w:rsidRPr="000905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 xml:space="preserve"> </w:t>
                    </w:r>
                    <w:proofErr w:type="spellStart"/>
                    <w:r w:rsidRPr="000905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>Week</w:t>
                    </w:r>
                    <w:proofErr w:type="spellEnd"/>
                    <w:r w:rsidRPr="000905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 xml:space="preserve"> Toolkit</w:t>
                    </w:r>
                  </w:hyperlink>
                  <w:r w:rsidRPr="0009053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fi-FI"/>
                    </w:rPr>
                    <w:t> </w:t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for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graphics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and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sample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posts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to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share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on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social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media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with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hashtags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#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EndPolio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and #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VaccinesWork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.  </w:t>
                  </w:r>
                </w:p>
                <w:p w14:paraId="4E0434DF" w14:textId="77777777" w:rsidR="00090538" w:rsidRPr="00090538" w:rsidRDefault="00AF1CB6" w:rsidP="000905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exac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</w:pPr>
                  <w:hyperlink r:id="rId11" w:history="1">
                    <w:proofErr w:type="spellStart"/>
                    <w:r w:rsidR="00090538" w:rsidRPr="000905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>Donate</w:t>
                    </w:r>
                    <w:proofErr w:type="spellEnd"/>
                  </w:hyperlink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 to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PolioPlus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to help Rotary and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our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partners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deliver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polio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vaccines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to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vulnerable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children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.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Or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start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an online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fundraiser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using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hyperlink r:id="rId12" w:history="1">
                    <w:proofErr w:type="spellStart"/>
                    <w:r w:rsidR="00090538" w:rsidRPr="00090538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>Raise</w:t>
                    </w:r>
                    <w:proofErr w:type="spellEnd"/>
                    <w:r w:rsidR="00090538" w:rsidRPr="00090538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 xml:space="preserve"> for Rotary</w:t>
                    </w:r>
                  </w:hyperlink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and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share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it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with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your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friends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,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colleagues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, and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family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members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.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All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contributions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will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be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matched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2-to-1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by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the</w:t>
                  </w:r>
                  <w:proofErr w:type="spellEnd"/>
                  <w:r w:rsidR="00090538"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Bill &amp; Melinda Gates Foundation.</w:t>
                  </w:r>
                </w:p>
                <w:p w14:paraId="126D20D6" w14:textId="77777777" w:rsidR="00090538" w:rsidRPr="00090538" w:rsidRDefault="00090538" w:rsidP="00090538">
                  <w:pPr>
                    <w:spacing w:after="0" w:line="330" w:lineRule="exac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</w:pP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Rotary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districts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can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give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hyperlink r:id="rId13" w:history="1">
                    <w:proofErr w:type="spellStart"/>
                    <w:r w:rsidRPr="00090538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>District</w:t>
                    </w:r>
                    <w:proofErr w:type="spellEnd"/>
                    <w:r w:rsidRPr="00090538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 xml:space="preserve"> </w:t>
                    </w:r>
                    <w:proofErr w:type="spellStart"/>
                    <w:r w:rsidRPr="00090538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>Designated</w:t>
                    </w:r>
                    <w:proofErr w:type="spellEnd"/>
                    <w:r w:rsidRPr="00090538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 xml:space="preserve"> </w:t>
                    </w:r>
                    <w:proofErr w:type="spellStart"/>
                    <w:r w:rsidRPr="00090538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>Funds</w:t>
                    </w:r>
                    <w:proofErr w:type="spellEnd"/>
                    <w:r w:rsidRPr="00090538">
                      <w:rPr>
                        <w:rFonts w:ascii="Arial" w:eastAsia="Times New Roman" w:hAnsi="Arial" w:cs="Arial"/>
                        <w:color w:val="0000FF"/>
                        <w:sz w:val="21"/>
                        <w:szCs w:val="21"/>
                        <w:u w:val="single"/>
                        <w:lang w:eastAsia="fi-FI"/>
                      </w:rPr>
                      <w:t xml:space="preserve"> (DDF)</w:t>
                    </w:r>
                  </w:hyperlink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to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PolioPlus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to help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meet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our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goal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of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raising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$50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million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each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year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to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>eradicate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t xml:space="preserve"> polio.</w:t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  <w:t> </w:t>
                  </w:r>
                </w:p>
              </w:tc>
            </w:tr>
            <w:tr w:rsidR="00090538" w:rsidRPr="00090538" w14:paraId="6DC1090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090538" w:rsidRPr="00090538" w14:paraId="4E65BBC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5"/>
                        </w:tblGrid>
                        <w:tr w:rsidR="00090538" w:rsidRPr="00090538" w14:paraId="7D01D24F" w14:textId="77777777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2625" w:type="dxa"/>
                              <w:shd w:val="clear" w:color="auto" w:fill="0050A2"/>
                              <w:vAlign w:val="center"/>
                              <w:hideMark/>
                            </w:tcPr>
                            <w:p w14:paraId="09EA4FBE" w14:textId="77777777" w:rsidR="00090538" w:rsidRPr="00090538" w:rsidRDefault="00AF1CB6" w:rsidP="00090538">
                              <w:pPr>
                                <w:spacing w:after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pacing w:val="15"/>
                                  <w:sz w:val="21"/>
                                  <w:szCs w:val="21"/>
                                  <w:lang w:eastAsia="fi-FI"/>
                                </w:rPr>
                              </w:pPr>
                              <w:hyperlink r:id="rId14" w:history="1">
                                <w:proofErr w:type="spellStart"/>
                                <w:r w:rsidR="00090538" w:rsidRPr="0009053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pacing w:val="15"/>
                                    <w:sz w:val="21"/>
                                    <w:szCs w:val="21"/>
                                    <w:u w:val="single"/>
                                    <w:lang w:eastAsia="fi-FI"/>
                                  </w:rPr>
                                  <w:t>Download</w:t>
                                </w:r>
                                <w:proofErr w:type="spellEnd"/>
                                <w:r w:rsidR="00090538" w:rsidRPr="0009053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pacing w:val="15"/>
                                    <w:sz w:val="21"/>
                                    <w:szCs w:val="21"/>
                                    <w:u w:val="single"/>
                                    <w:lang w:eastAsia="fi-FI"/>
                                  </w:rPr>
                                  <w:t xml:space="preserve"> </w:t>
                                </w:r>
                                <w:proofErr w:type="spellStart"/>
                                <w:r w:rsidR="00090538" w:rsidRPr="0009053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pacing w:val="15"/>
                                    <w:sz w:val="21"/>
                                    <w:szCs w:val="21"/>
                                    <w:u w:val="single"/>
                                    <w:lang w:eastAsia="fi-FI"/>
                                  </w:rPr>
                                  <w:t>the</w:t>
                                </w:r>
                                <w:proofErr w:type="spellEnd"/>
                                <w:r w:rsidR="00090538" w:rsidRPr="0009053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pacing w:val="15"/>
                                    <w:sz w:val="21"/>
                                    <w:szCs w:val="21"/>
                                    <w:u w:val="single"/>
                                    <w:lang w:eastAsia="fi-FI"/>
                                  </w:rPr>
                                  <w:t xml:space="preserve"> World </w:t>
                                </w:r>
                                <w:proofErr w:type="spellStart"/>
                                <w:r w:rsidR="00090538" w:rsidRPr="0009053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pacing w:val="15"/>
                                    <w:sz w:val="21"/>
                                    <w:szCs w:val="21"/>
                                    <w:u w:val="single"/>
                                    <w:lang w:eastAsia="fi-FI"/>
                                  </w:rPr>
                                  <w:t>Immunization</w:t>
                                </w:r>
                                <w:proofErr w:type="spellEnd"/>
                                <w:r w:rsidR="00090538" w:rsidRPr="0009053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pacing w:val="15"/>
                                    <w:sz w:val="21"/>
                                    <w:szCs w:val="21"/>
                                    <w:u w:val="single"/>
                                    <w:lang w:eastAsia="fi-FI"/>
                                  </w:rPr>
                                  <w:t xml:space="preserve"> </w:t>
                                </w:r>
                                <w:proofErr w:type="spellStart"/>
                                <w:r w:rsidR="00090538" w:rsidRPr="0009053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pacing w:val="15"/>
                                    <w:sz w:val="21"/>
                                    <w:szCs w:val="21"/>
                                    <w:u w:val="single"/>
                                    <w:lang w:eastAsia="fi-FI"/>
                                  </w:rPr>
                                  <w:t>Week</w:t>
                                </w:r>
                                <w:proofErr w:type="spellEnd"/>
                                <w:r w:rsidR="00090538" w:rsidRPr="0009053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pacing w:val="15"/>
                                    <w:sz w:val="21"/>
                                    <w:szCs w:val="21"/>
                                    <w:u w:val="single"/>
                                    <w:lang w:eastAsia="fi-FI"/>
                                  </w:rPr>
                                  <w:t xml:space="preserve"> Toolkit </w:t>
                                </w:r>
                              </w:hyperlink>
                            </w:p>
                          </w:tc>
                        </w:tr>
                      </w:tbl>
                      <w:p w14:paraId="49EE19EF" w14:textId="77777777" w:rsidR="00090538" w:rsidRPr="00090538" w:rsidRDefault="00090538" w:rsidP="00090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</w:p>
                    </w:tc>
                  </w:tr>
                </w:tbl>
                <w:p w14:paraId="2FE13528" w14:textId="77777777" w:rsidR="00090538" w:rsidRPr="00090538" w:rsidRDefault="00090538" w:rsidP="00090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21847F61" w14:textId="77777777" w:rsidR="00090538" w:rsidRPr="00090538" w:rsidRDefault="00090538" w:rsidP="0009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90538" w:rsidRPr="00090538" w14:paraId="513C5816" w14:textId="77777777" w:rsidTr="000905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E7F8F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0538" w:rsidRPr="00090538" w14:paraId="0A97D7F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7F8FE"/>
                  <w:vAlign w:val="center"/>
                  <w:hideMark/>
                </w:tcPr>
                <w:p w14:paraId="6515A640" w14:textId="77777777" w:rsidR="00090538" w:rsidRPr="00090538" w:rsidRDefault="00090538" w:rsidP="0009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090538" w:rsidRPr="00090538" w14:paraId="735AF27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7F8FE"/>
                  <w:tcMar>
                    <w:top w:w="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p w14:paraId="7E44FC16" w14:textId="77777777" w:rsidR="00090538" w:rsidRPr="00090538" w:rsidRDefault="00AF1CB6" w:rsidP="00090538">
                  <w:pPr>
                    <w:spacing w:after="0" w:line="330" w:lineRule="exac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pict w14:anchorId="39F6F8E2">
                      <v:rect id="_x0000_i1025" style="width:0;height:1.5pt" o:hralign="center" o:hrstd="t" o:hr="t" fillcolor="#a0a0a0" stroked="f"/>
                    </w:pict>
                  </w:r>
                </w:p>
                <w:p w14:paraId="3787E4A2" w14:textId="77777777" w:rsidR="00090538" w:rsidRPr="00090538" w:rsidRDefault="00090538" w:rsidP="00090538">
                  <w:pPr>
                    <w:spacing w:after="0" w:line="330" w:lineRule="exac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</w:pP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World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Immunization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Week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messages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are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sent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to a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broad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range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of polio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eradication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advocates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including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:</w:t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•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RI Board of Directors and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directors-elect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•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Rotary Foundation Board of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Trustees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and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incoming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trustees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•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Past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RI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presidents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•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District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governors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assistant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governors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and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governors-elect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• Rotary and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Rotaract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club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presidents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•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Regional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leaders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(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RRFCs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RCs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RPICs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, E/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MGAs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and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End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Polio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Now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coordinators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)</w:t>
                  </w:r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•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District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Rotary Foundation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chairs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•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Communications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Committee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•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End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Polio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Now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newsletter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subscribers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i-FI"/>
                    </w:rPr>
                    <w:br/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•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PolioPlus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committees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(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the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International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PolioPlus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Committee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End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Polio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Now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: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Countdown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to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History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Campaign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Committee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Polio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Eradication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Advocacy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Task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Forces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PolioPlus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national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advocacy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advisers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national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PolioPlus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chairs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,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district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PolioPlus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subcommittee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chairs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)</w:t>
                  </w:r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br/>
                    <w:t xml:space="preserve">• COVID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Task</w:t>
                  </w:r>
                  <w:proofErr w:type="spellEnd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 xml:space="preserve"> </w:t>
                  </w:r>
                  <w:proofErr w:type="spellStart"/>
                  <w:r w:rsidRPr="00090538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8"/>
                      <w:szCs w:val="18"/>
                      <w:lang w:eastAsia="fi-FI"/>
                    </w:rPr>
                    <w:t>Force</w:t>
                  </w:r>
                  <w:proofErr w:type="spellEnd"/>
                </w:p>
              </w:tc>
            </w:tr>
            <w:tr w:rsidR="00090538" w:rsidRPr="00090538" w14:paraId="547C35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7F8FE"/>
                  <w:tcMar>
                    <w:top w:w="21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090538" w:rsidRPr="00090538" w14:paraId="27B3F02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13BFDB" w14:textId="77777777" w:rsidR="00090538" w:rsidRPr="00090538" w:rsidRDefault="00090538" w:rsidP="00090538">
                        <w:pPr>
                          <w:spacing w:after="0" w:line="330" w:lineRule="exac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fi-FI"/>
                          </w:rPr>
                        </w:pPr>
                      </w:p>
                    </w:tc>
                  </w:tr>
                  <w:tr w:rsidR="00090538" w:rsidRPr="00090538" w14:paraId="25D02423" w14:textId="77777777">
                    <w:trPr>
                      <w:trHeight w:val="50"/>
                      <w:tblCellSpacing w:w="0" w:type="dxa"/>
                      <w:jc w:val="center"/>
                    </w:trPr>
                    <w:tc>
                      <w:tcPr>
                        <w:tcW w:w="2625" w:type="dxa"/>
                        <w:vAlign w:val="center"/>
                        <w:hideMark/>
                      </w:tcPr>
                      <w:p w14:paraId="3D0FE4FA" w14:textId="77777777" w:rsidR="00090538" w:rsidRPr="00090538" w:rsidRDefault="00090538" w:rsidP="00090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i-FI"/>
                          </w:rPr>
                        </w:pPr>
                      </w:p>
                    </w:tc>
                  </w:tr>
                </w:tbl>
                <w:p w14:paraId="3D0719F9" w14:textId="77777777" w:rsidR="00090538" w:rsidRPr="00090538" w:rsidRDefault="00090538" w:rsidP="00090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3C16C97B" w14:textId="77777777" w:rsidR="00090538" w:rsidRPr="00090538" w:rsidRDefault="00090538" w:rsidP="0009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090538" w:rsidRPr="00090538" w14:paraId="552BABAB" w14:textId="77777777" w:rsidTr="00090538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30C2D1F" w14:textId="77777777" w:rsidR="00090538" w:rsidRPr="00090538" w:rsidRDefault="00090538" w:rsidP="0009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9053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468D5B81" wp14:editId="37FC2BA5">
                  <wp:extent cx="5715000" cy="857250"/>
                  <wp:effectExtent l="0" t="0" r="0" b="0"/>
                  <wp:docPr id="10" name="Kuva 1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38" w:rsidRPr="00090538" w14:paraId="49AC591C" w14:textId="77777777" w:rsidTr="000905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50A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6600"/>
              <w:gridCol w:w="1200"/>
            </w:tblGrid>
            <w:tr w:rsidR="00090538" w:rsidRPr="00090538" w14:paraId="7F26E701" w14:textId="77777777">
              <w:trPr>
                <w:tblCellSpacing w:w="0" w:type="dxa"/>
              </w:trPr>
              <w:tc>
                <w:tcPr>
                  <w:tcW w:w="1200" w:type="dxa"/>
                  <w:shd w:val="clear" w:color="auto" w:fill="0050A2"/>
                  <w:vAlign w:val="center"/>
                  <w:hideMark/>
                </w:tcPr>
                <w:p w14:paraId="07659BD0" w14:textId="77777777" w:rsidR="00090538" w:rsidRPr="00090538" w:rsidRDefault="00090538" w:rsidP="0009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shd w:val="clear" w:color="auto" w:fill="0050A2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090538" w:rsidRPr="00090538" w14:paraId="7284FBD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017221F" w14:textId="77777777" w:rsidR="00090538" w:rsidRPr="00090538" w:rsidRDefault="00090538" w:rsidP="00090538">
                        <w:pPr>
                          <w:spacing w:before="100" w:beforeAutospacing="1" w:after="100" w:afterAutospacing="1" w:line="330" w:lineRule="atLeast"/>
                          <w:jc w:val="center"/>
                          <w:rPr>
                            <w:rFonts w:ascii="Arial" w:eastAsia="Times New Roman" w:hAnsi="Arial" w:cs="Arial"/>
                            <w:color w:val="98AAD2"/>
                            <w:sz w:val="18"/>
                            <w:szCs w:val="18"/>
                            <w:lang w:eastAsia="fi-FI"/>
                          </w:rPr>
                        </w:pPr>
                        <w:r w:rsidRPr="00090538">
                          <w:rPr>
                            <w:rFonts w:ascii="Arial" w:eastAsia="Times New Roman" w:hAnsi="Arial" w:cs="Arial"/>
                            <w:b/>
                            <w:bCs/>
                            <w:color w:val="98AAD2"/>
                            <w:sz w:val="18"/>
                            <w:szCs w:val="18"/>
                            <w:lang w:eastAsia="fi-FI"/>
                          </w:rPr>
                          <w:t xml:space="preserve">© Rotary International </w:t>
                        </w:r>
                        <w:r w:rsidRPr="00090538">
                          <w:rPr>
                            <w:rFonts w:ascii="Arial" w:eastAsia="Times New Roman" w:hAnsi="Arial" w:cs="Arial"/>
                            <w:color w:val="98AAD2"/>
                            <w:sz w:val="18"/>
                            <w:szCs w:val="18"/>
                            <w:lang w:eastAsia="fi-FI"/>
                          </w:rPr>
                          <w:br/>
                          <w:t xml:space="preserve">One Rotary Center, 1560 </w:t>
                        </w:r>
                        <w:proofErr w:type="spellStart"/>
                        <w:r w:rsidRPr="00090538">
                          <w:rPr>
                            <w:rFonts w:ascii="Arial" w:eastAsia="Times New Roman" w:hAnsi="Arial" w:cs="Arial"/>
                            <w:color w:val="98AAD2"/>
                            <w:sz w:val="18"/>
                            <w:szCs w:val="18"/>
                            <w:lang w:eastAsia="fi-FI"/>
                          </w:rPr>
                          <w:t>Sherman</w:t>
                        </w:r>
                        <w:proofErr w:type="spellEnd"/>
                        <w:r w:rsidRPr="00090538">
                          <w:rPr>
                            <w:rFonts w:ascii="Arial" w:eastAsia="Times New Roman" w:hAnsi="Arial" w:cs="Arial"/>
                            <w:color w:val="98AAD2"/>
                            <w:sz w:val="18"/>
                            <w:szCs w:val="18"/>
                            <w:lang w:eastAsia="fi-FI"/>
                          </w:rPr>
                          <w:t xml:space="preserve"> </w:t>
                        </w:r>
                        <w:proofErr w:type="spellStart"/>
                        <w:r w:rsidRPr="00090538">
                          <w:rPr>
                            <w:rFonts w:ascii="Arial" w:eastAsia="Times New Roman" w:hAnsi="Arial" w:cs="Arial"/>
                            <w:color w:val="98AAD2"/>
                            <w:sz w:val="18"/>
                            <w:szCs w:val="18"/>
                            <w:lang w:eastAsia="fi-FI"/>
                          </w:rPr>
                          <w:t>Ave</w:t>
                        </w:r>
                        <w:proofErr w:type="spellEnd"/>
                        <w:r w:rsidRPr="00090538">
                          <w:rPr>
                            <w:rFonts w:ascii="Arial" w:eastAsia="Times New Roman" w:hAnsi="Arial" w:cs="Arial"/>
                            <w:color w:val="98AAD2"/>
                            <w:sz w:val="18"/>
                            <w:szCs w:val="18"/>
                            <w:lang w:eastAsia="fi-FI"/>
                          </w:rPr>
                          <w:t xml:space="preserve">., </w:t>
                        </w:r>
                        <w:proofErr w:type="spellStart"/>
                        <w:r w:rsidRPr="00090538">
                          <w:rPr>
                            <w:rFonts w:ascii="Arial" w:eastAsia="Times New Roman" w:hAnsi="Arial" w:cs="Arial"/>
                            <w:color w:val="98AAD2"/>
                            <w:sz w:val="18"/>
                            <w:szCs w:val="18"/>
                            <w:lang w:eastAsia="fi-FI"/>
                          </w:rPr>
                          <w:t>Evanston</w:t>
                        </w:r>
                        <w:proofErr w:type="spellEnd"/>
                        <w:r w:rsidRPr="00090538">
                          <w:rPr>
                            <w:rFonts w:ascii="Arial" w:eastAsia="Times New Roman" w:hAnsi="Arial" w:cs="Arial"/>
                            <w:color w:val="98AAD2"/>
                            <w:sz w:val="18"/>
                            <w:szCs w:val="18"/>
                            <w:lang w:eastAsia="fi-FI"/>
                          </w:rPr>
                          <w:t xml:space="preserve">, IL 60201-3698, USA </w:t>
                        </w:r>
                      </w:p>
                    </w:tc>
                  </w:tr>
                </w:tbl>
                <w:p w14:paraId="72BF501B" w14:textId="77777777" w:rsidR="00090538" w:rsidRPr="00090538" w:rsidRDefault="00090538" w:rsidP="0009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1200" w:type="dxa"/>
                  <w:shd w:val="clear" w:color="auto" w:fill="0050A2"/>
                  <w:vAlign w:val="center"/>
                  <w:hideMark/>
                </w:tcPr>
                <w:p w14:paraId="307121B5" w14:textId="77777777" w:rsidR="00090538" w:rsidRPr="00090538" w:rsidRDefault="00090538" w:rsidP="00090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i-FI"/>
                    </w:rPr>
                  </w:pPr>
                </w:p>
              </w:tc>
            </w:tr>
          </w:tbl>
          <w:p w14:paraId="127911CB" w14:textId="77777777" w:rsidR="00090538" w:rsidRPr="00090538" w:rsidRDefault="00090538" w:rsidP="0009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73E36222" w14:textId="77777777" w:rsidR="00090538" w:rsidRPr="00090538" w:rsidRDefault="00090538" w:rsidP="0009053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If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you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wish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to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unsubscribe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,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please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click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on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the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link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below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.</w:t>
      </w:r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br/>
      </w:r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br/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Please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note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this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is an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automated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</w:t>
      </w:r>
      <w:proofErr w:type="spellStart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operation</w:t>
      </w:r>
      <w:proofErr w:type="spellEnd"/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>.</w:t>
      </w:r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br/>
      </w:r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br/>
      </w:r>
      <w:hyperlink r:id="rId17" w:history="1">
        <w:proofErr w:type="spellStart"/>
        <w:r w:rsidRPr="0009053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fi-FI"/>
          </w:rPr>
          <w:t>Unsubscribe</w:t>
        </w:r>
        <w:proofErr w:type="spellEnd"/>
      </w:hyperlink>
      <w:r w:rsidRPr="00090538">
        <w:rPr>
          <w:rFonts w:ascii="Verdana" w:eastAsia="Times New Roman" w:hAnsi="Verdana" w:cs="Times New Roman"/>
          <w:color w:val="000000"/>
          <w:sz w:val="15"/>
          <w:szCs w:val="15"/>
          <w:lang w:eastAsia="fi-FI"/>
        </w:rPr>
        <w:t xml:space="preserve"> </w:t>
      </w:r>
    </w:p>
    <w:p w14:paraId="00859DF5" w14:textId="75389FD2" w:rsidR="00805237" w:rsidRDefault="00090538" w:rsidP="00090538">
      <w:r w:rsidRPr="00090538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6023333A" wp14:editId="4171338D">
            <wp:extent cx="6350" cy="635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538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2ED38F40" wp14:editId="052B5ABA">
            <wp:extent cx="6350" cy="635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2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7951"/>
    <w:multiLevelType w:val="multilevel"/>
    <w:tmpl w:val="D46A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38"/>
    <w:rsid w:val="00090538"/>
    <w:rsid w:val="00805237"/>
    <w:rsid w:val="00AF1CB6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2DC1"/>
  <w15:chartTrackingRefBased/>
  <w15:docId w15:val="{0FDD1B8B-E67B-45FD-A977-BD6DB443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gfocus.rotary.org/c/1Iy8Zwf6exK0TbVY8bIOZoFck9qq" TargetMode="External"/><Relationship Id="rId13" Type="http://schemas.openxmlformats.org/officeDocument/2006/relationships/hyperlink" Target="https://msgfocus.rotary.org/c/1Iy90v1qRfbYzb9GHEgOik6dtu1U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s://msgfocus.rotary.org/c/1Iy8Zh314RSwtc82uk5kaaiWxjM3" TargetMode="External"/><Relationship Id="rId12" Type="http://schemas.openxmlformats.org/officeDocument/2006/relationships/hyperlink" Target="https://msgfocus.rotary.org/c/1Iy90fPlHzku9blL3MDjt5JXGEnx" TargetMode="External"/><Relationship Id="rId17" Type="http://schemas.openxmlformats.org/officeDocument/2006/relationships/hyperlink" Target="https://msgfocus.rotary.org/u/1e34bSHuOpD8ZlrTR0qnwgg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sgfocus.rotary.org/c/1Iy900DgxTsZJbxPpUZODRnHTOJa" TargetMode="External"/><Relationship Id="rId5" Type="http://schemas.openxmlformats.org/officeDocument/2006/relationships/hyperlink" Target="https://msgfocus.rotary.org/q/1tf9lyyZepr4Dd5oGeMDj5V8/wv" TargetMode="External"/><Relationship Id="rId15" Type="http://schemas.openxmlformats.org/officeDocument/2006/relationships/hyperlink" Target="https://msgfocus.rotary.org/c/1Iy90ZpBaAUXpaLxZnxNWMOJ39kE" TargetMode="External"/><Relationship Id="rId10" Type="http://schemas.openxmlformats.org/officeDocument/2006/relationships/hyperlink" Target="https://msgfocus.rotary.org/c/1Iy8ZLrbodBvjbJTM3mjOD1s6Z4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sgfocus.rotary.org/c/1Iy90Kdw0V3sZaXClvUj7ystgjGh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Reiman-Salminen</dc:creator>
  <cp:keywords/>
  <dc:description/>
  <cp:lastModifiedBy>Niiniaho Päivi H</cp:lastModifiedBy>
  <cp:revision>2</cp:revision>
  <dcterms:created xsi:type="dcterms:W3CDTF">2022-04-19T07:25:00Z</dcterms:created>
  <dcterms:modified xsi:type="dcterms:W3CDTF">2022-04-19T07:25:00Z</dcterms:modified>
</cp:coreProperties>
</file>